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F89BB"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376EEB8C"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17C03A60"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03615893">
      <w:pPr>
        <w:ind w:firstLine="640" w:firstLineChars="200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</w:p>
    <w:tbl>
      <w:tblPr>
        <w:tblStyle w:val="6"/>
        <w:tblpPr w:leftFromText="180" w:rightFromText="180" w:vertAnchor="text" w:horzAnchor="page" w:tblpX="3632" w:tblpY="66"/>
        <w:tblOverlap w:val="never"/>
        <w:tblW w:w="46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276"/>
      </w:tblGrid>
      <w:tr w14:paraId="6194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A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皖工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A8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党发〔2024〕103号</w:t>
            </w:r>
          </w:p>
        </w:tc>
      </w:tr>
      <w:tr w14:paraId="77155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6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FE6F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AD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校政〔2024〕105号</w:t>
            </w:r>
          </w:p>
        </w:tc>
      </w:tr>
    </w:tbl>
    <w:p w14:paraId="35404019"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 w14:paraId="4E2878B1">
      <w:pPr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            </w:t>
      </w:r>
    </w:p>
    <w:p w14:paraId="2CB28E0D">
      <w:pPr>
        <w:spacing w:line="540" w:lineRule="exact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 w14:paraId="137B7778">
      <w:pPr>
        <w:widowControl/>
        <w:spacing w:line="56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 w14:paraId="0CA51E8E"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44"/>
          <w:szCs w:val="44"/>
        </w:rPr>
        <w:t>关于印发《皖江工学院2024年职能部门等机构设置调整实施方案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二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）</w:t>
      </w:r>
      <w:r>
        <w:rPr>
          <w:rFonts w:hint="eastAsia" w:ascii="宋体" w:hAnsi="宋体" w:cs="宋体"/>
          <w:b/>
          <w:sz w:val="44"/>
          <w:szCs w:val="44"/>
        </w:rPr>
        <w:t>》的通知</w:t>
      </w:r>
    </w:p>
    <w:p w14:paraId="43D13597">
      <w:pPr>
        <w:widowControl/>
        <w:autoSpaceDE w:val="0"/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 w14:paraId="2E4E89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各党总支、直属党支部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833F348"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经校长办公会、党委会研究决定，报董事会批准，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现将《2024年职能部门等机构设置调整实施方案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》印发给你们，</w:t>
      </w:r>
      <w:r>
        <w:rPr>
          <w:rFonts w:hint="eastAsia" w:ascii="仿宋" w:hAnsi="仿宋" w:eastAsia="仿宋" w:cs="仿宋"/>
          <w:sz w:val="32"/>
          <w:szCs w:val="32"/>
        </w:rPr>
        <w:t>请认真贯彻执行。</w:t>
      </w:r>
    </w:p>
    <w:p w14:paraId="1ECB18A8">
      <w:pPr>
        <w:widowControl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 w14:paraId="2E229C40">
      <w:pPr>
        <w:snapToGrid w:val="0"/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附件:2024年职能部门等机构设置调整实施方案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）</w:t>
      </w:r>
    </w:p>
    <w:p w14:paraId="27210B15">
      <w:pPr>
        <w:snapToGrid w:val="0"/>
        <w:spacing w:line="600" w:lineRule="exact"/>
        <w:outlineLvl w:val="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</w:p>
    <w:p w14:paraId="619582D2">
      <w:pPr>
        <w:snapToGrid w:val="0"/>
        <w:spacing w:line="600" w:lineRule="exact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bookmarkStart w:id="0" w:name="_GoBack"/>
    </w:p>
    <w:p w14:paraId="3E76A452">
      <w:pPr>
        <w:snapToGrid w:val="0"/>
        <w:spacing w:line="600" w:lineRule="exact"/>
        <w:ind w:firstLine="1280" w:firstLineChars="4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中共皖江工学院委员会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皖江工学院</w:t>
      </w:r>
    </w:p>
    <w:p w14:paraId="0C687904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2024年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 w14:paraId="611AEB4D"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66AC242F">
      <w:pPr>
        <w:spacing w:line="480" w:lineRule="exact"/>
        <w:ind w:firstLine="237" w:firstLineChars="1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20"/>
          <w:w w:val="99"/>
          <w:sz w:val="28"/>
          <w:szCs w:val="28"/>
        </w:rPr>
        <w:t>中共</w:t>
      </w:r>
      <w:r>
        <w:rPr>
          <w:rFonts w:hint="eastAsia" w:ascii="仿宋" w:hAnsi="仿宋" w:eastAsia="仿宋" w:cs="仿宋"/>
          <w:color w:val="auto"/>
          <w:spacing w:val="-20"/>
          <w:w w:val="99"/>
          <w:sz w:val="28"/>
          <w:szCs w:val="28"/>
          <w:lang w:eastAsia="zh-CN"/>
        </w:rPr>
        <w:t>皖江工学院</w:t>
      </w:r>
      <w:r>
        <w:rPr>
          <w:rFonts w:hint="eastAsia" w:ascii="仿宋" w:hAnsi="仿宋" w:eastAsia="仿宋" w:cs="仿宋"/>
          <w:color w:val="auto"/>
          <w:spacing w:val="-20"/>
          <w:w w:val="99"/>
          <w:sz w:val="28"/>
          <w:szCs w:val="28"/>
        </w:rPr>
        <w:t>委员会办公室</w: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1312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JnDYPWAAAACAEAAA8AAAAAAAAAAQAgAAAAIgAAAGRycy9kb3ducmV2Lnht&#10;bFBLAQIUABQAAAAIAIdO4kB5eWnB+wEAAPQ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YVf90AAAAAIBAAAPAAAAAAAAAAEAIAAAACIAAABkcnMvZG93bnJldi54bWxQSwECFAAU&#10;AAAACACHTuJAAVDe+PkBAADyAwAADgAAAAAAAAABACAAAAAf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bookmarkEnd w:id="0"/>
    <w:p w14:paraId="51998F55">
      <w:pPr>
        <w:pStyle w:val="2"/>
        <w:spacing w:line="540" w:lineRule="exact"/>
        <w:ind w:firstLine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附件</w:t>
      </w:r>
    </w:p>
    <w:p w14:paraId="42A616C1">
      <w:pPr>
        <w:spacing w:line="540" w:lineRule="exact"/>
        <w:jc w:val="center"/>
        <w:rPr>
          <w:rFonts w:hint="eastAsia" w:ascii="宋体" w:hAnsi="宋体" w:cs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皖江工学院</w:t>
      </w:r>
    </w:p>
    <w:p w14:paraId="09345EA3">
      <w:pPr>
        <w:spacing w:line="54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  <w:highlight w:val="none"/>
        </w:rPr>
        <w:t>2024年职能部门等机构设置调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整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  <w:highlight w:val="none"/>
        </w:rPr>
        <w:t>实施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方案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  <w:highlight w:val="none"/>
          <w:lang w:eastAsia="zh-CN"/>
        </w:rPr>
        <w:t>）</w:t>
      </w:r>
    </w:p>
    <w:p w14:paraId="6E2E0C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为进一步加强学校科学管理，按照精干高效、各负其责的原则，健全完善各职能部门机构设置，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职能部门等机构设置调整实施方案》（皖工校政〔20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</w:rPr>
        <w:t>的基础上，进一步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优化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属性</w:t>
      </w:r>
      <w:r>
        <w:rPr>
          <w:rFonts w:hint="eastAsia" w:ascii="仿宋" w:hAnsi="仿宋" w:eastAsia="仿宋" w:cs="仿宋"/>
          <w:sz w:val="32"/>
          <w:szCs w:val="32"/>
        </w:rPr>
        <w:t>，经研究决定，我校机构设置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个职能部门和两个直属企业。</w:t>
      </w:r>
    </w:p>
    <w:p w14:paraId="181EA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职能部门：评估建设工作办公室、院务部、党务部、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工会、团委、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产业服务部</w:t>
      </w:r>
      <w:r>
        <w:rPr>
          <w:rFonts w:hint="eastAsia" w:ascii="仿宋" w:hAnsi="仿宋" w:eastAsia="仿宋" w:cs="仿宋"/>
          <w:sz w:val="32"/>
          <w:szCs w:val="32"/>
        </w:rPr>
        <w:t>、教务部、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图书馆、</w:t>
      </w:r>
      <w:r>
        <w:rPr>
          <w:rFonts w:hint="eastAsia" w:ascii="仿宋" w:hAnsi="仿宋" w:eastAsia="仿宋" w:cs="仿宋"/>
          <w:sz w:val="32"/>
          <w:szCs w:val="32"/>
        </w:rPr>
        <w:t>科技部、人力资源部、学生工作部、后勤保障部、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财务部、</w:t>
      </w:r>
      <w:r>
        <w:rPr>
          <w:rFonts w:hint="eastAsia" w:ascii="仿宋" w:hAnsi="仿宋" w:eastAsia="仿宋" w:cs="仿宋"/>
          <w:sz w:val="32"/>
          <w:szCs w:val="32"/>
        </w:rPr>
        <w:t>资产管理部、继续教育学院、郑蒲港校区管理委员会等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管理服务机构。</w:t>
      </w:r>
    </w:p>
    <w:p w14:paraId="62D9E1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直属企业：江苏文天水利规划设计研究院有限公司、南京皖工高新技术研究院有限公司等二个学校直属管理的企业。</w:t>
      </w:r>
    </w:p>
    <w:p w14:paraId="023E30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职能部门及内设机构（含合署和挂靠）设置如下：</w:t>
      </w:r>
    </w:p>
    <w:p w14:paraId="4AE8D04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评估建设工作办公室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发展规划部合署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036188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负责学校教学评建的具体工作，整体协调学校教学评建的资源调配；负责处理评建工作日常事务，定期例会，协调各专项工作；负责制定评建工作方案，检查验收与总结工作；负责总报告和总汇编材料，向教育部提交材料、相关发布工作和专家意见反馈等工作。</w:t>
      </w:r>
    </w:p>
    <w:p w14:paraId="6BE20F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负责起草、编制和汇编学校中长期发展规划；指导与协调校内各部门、各学院规划的编制；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</w:rPr>
        <w:t>制定单位目标考核任务书；负责督促规划落实，检查和评价学校规划与各子规划的实施情况；负责督促学校章程的落实，承担章程实施情况检查分析、章程修订和相关具体解释、信息发布等；会同有关部门对学校发展与改革重大措施的出台进行调研、论证和评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A0DF0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下设评建科、督导科、质量监控中心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规划科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个科室。</w:t>
      </w:r>
    </w:p>
    <w:p w14:paraId="70BF2A8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院务部</w:t>
      </w:r>
    </w:p>
    <w:p w14:paraId="776122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负责学校行政会议组织、重大活动安排、文件/文字材料起草审核、各类来文处理及其他行政日常（含</w:t>
      </w:r>
      <w:r>
        <w:rPr>
          <w:rFonts w:ascii="仿宋" w:hAnsi="仿宋" w:eastAsia="仿宋" w:cs="仿宋"/>
          <w:sz w:val="32"/>
          <w:szCs w:val="32"/>
        </w:rPr>
        <w:t>校历编制</w:t>
      </w:r>
      <w:r>
        <w:rPr>
          <w:rFonts w:hint="eastAsia" w:ascii="仿宋" w:hAnsi="仿宋" w:eastAsia="仿宋" w:cs="仿宋"/>
          <w:sz w:val="32"/>
          <w:szCs w:val="32"/>
        </w:rPr>
        <w:t>）工作；负责协调各部门的工作关系和督查督办工作；负责学校保卫、法务、信访、档案、印章、校友会及车辆管理等工作；负责统筹教育事业综合统计调查数据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等填报工作；</w:t>
      </w:r>
      <w:r>
        <w:rPr>
          <w:rFonts w:hint="eastAsia" w:ascii="仿宋" w:hAnsi="仿宋" w:eastAsia="仿宋" w:cs="仿宋"/>
          <w:sz w:val="32"/>
          <w:szCs w:val="32"/>
        </w:rPr>
        <w:t>负责学校对外合作、协同和交流。</w:t>
      </w:r>
    </w:p>
    <w:p w14:paraId="6270E1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下设综合科、行政科、保卫科、校友联谊科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档案馆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个科室。</w:t>
      </w:r>
    </w:p>
    <w:p w14:paraId="48EE22A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党务部</w:t>
      </w:r>
    </w:p>
    <w:p w14:paraId="4B37F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华文中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学校党委会议组织、重大活动安排、文件/文字材料起草审核、会议材料准备及其他党委日常工作；负责学校党的基层组织建设、党员教育管理和党员发展工作；负责学校党的纪律检查工作；负责学校党校、宣传、统战、舆情、保密、党代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网络舆情安全</w:t>
      </w:r>
      <w:r>
        <w:rPr>
          <w:rFonts w:hint="eastAsia" w:ascii="仿宋" w:hAnsi="仿宋" w:eastAsia="仿宋" w:cs="仿宋"/>
          <w:sz w:val="32"/>
          <w:szCs w:val="32"/>
        </w:rPr>
        <w:t>等工作。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协助完成教（职）代会等。</w:t>
      </w:r>
    </w:p>
    <w:p w14:paraId="3D4DDA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下设</w:t>
      </w:r>
      <w:r>
        <w:rPr>
          <w:rFonts w:hint="eastAsia" w:ascii="仿宋" w:hAnsi="仿宋" w:eastAsia="仿宋" w:cs="仿宋"/>
          <w:sz w:val="32"/>
          <w:szCs w:val="32"/>
        </w:rPr>
        <w:t>组织科（对外印章称组织部）、宣传统战科（宣传工作对外印章称宣传部和统战部）、纪检办公室等3个科室。</w:t>
      </w:r>
    </w:p>
    <w:p w14:paraId="4B103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四、工会（退休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办公室挂靠）</w:t>
      </w:r>
    </w:p>
    <w:p w14:paraId="01D07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依法维护教职工的合法权益，参与协调劳动关系和调解劳动争议等民主管理，促进学校民主管理和民主建设；负责收好、管好、用好工会经费和完成教（职）代会；协助党政领导做好教职工思想政治工作关心会员生活福利，协助和督促行政办好集体福利事业；负责会员互助互济活动，关心困难会员，做好离退休人员和家属工作；负责组织开展有益于会员身心健康的文体活动，丰富教职工的精神文化生活；负责维护女职工的特殊权益等。</w:t>
      </w:r>
    </w:p>
    <w:p w14:paraId="72E2E9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下设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综合办1个科室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3E77B3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五、团委</w:t>
      </w:r>
    </w:p>
    <w:p w14:paraId="5ABF4B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负责制订与校党委工作部署一致的团委工作计划；负责完成学校团代会；负责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学生活动组织安排、学生会和社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团管理、志愿服务等；负责学校与青年学生的联系与沟通，维护青年学生权益等。</w:t>
      </w:r>
    </w:p>
    <w:p w14:paraId="1806BD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下设：组织宣传科、实践及社团工作科等2个科室。</w:t>
      </w:r>
    </w:p>
    <w:p w14:paraId="1F8B24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产业服务部</w:t>
      </w:r>
    </w:p>
    <w:p w14:paraId="04F99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6" w:firstLine="60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负责学校产业公司对外合作、协调、交流；</w:t>
      </w:r>
      <w:r>
        <w:rPr>
          <w:rFonts w:hint="eastAsia" w:ascii="仿宋_GB2312" w:hAnsi="宋体" w:eastAsia="仿宋_GB2312"/>
          <w:sz w:val="32"/>
          <w:szCs w:val="32"/>
        </w:rPr>
        <w:t>负责学校产业公司各项的资质升级及资质维护；负责学校产业公司人员聘用及管理工作；负责学校产业的市场开拓及对外业务联络等相关事宜；负责学校产业公司内、外部矛盾纠纷的处理。</w:t>
      </w:r>
      <w:r>
        <w:rPr>
          <w:rFonts w:hint="eastAsia" w:ascii="仿宋" w:hAnsi="仿宋" w:eastAsia="仿宋" w:cs="仿宋"/>
          <w:sz w:val="32"/>
          <w:szCs w:val="32"/>
        </w:rPr>
        <w:t>负责协调学校产业发展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有关事宜。</w:t>
      </w:r>
    </w:p>
    <w:p w14:paraId="549836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下设产业服务科等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个科室。</w:t>
      </w:r>
    </w:p>
    <w:p w14:paraId="2E3A1E4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教务部</w:t>
      </w:r>
    </w:p>
    <w:p w14:paraId="179912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组织学校各专业人才培养方案制定、教学管理、教学建设、教学改革，协管教学质量评估等工作。负责学校教学工作的计划审核、组织实施、考核监督、协调调度、教学资源管理、教学工作量核算等全面管理工作；负责指导各教学单位开展专业（课程）建设、人才培养模式改革、教学研究；负责学生学籍管理、成绩管理、毕业资格审核、毕业证授予和补办工作；负责学生考研工作；负责制定实验室建设规划，组织实验教学、实习实训；会同各院部组织教材建设、教材选定、图书购置等工作；负责学校排课、调停课和教室调度，负责日常教学动态管理；负责统筹高等教育质量监测国家数据平台数据填报工作。</w:t>
      </w:r>
    </w:p>
    <w:p w14:paraId="5F845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下设综合科、教务科、实践教学科、教学建设科、学籍管理科等5个科室。</w:t>
      </w:r>
    </w:p>
    <w:p w14:paraId="253F93C8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图书馆</w:t>
      </w:r>
    </w:p>
    <w:p w14:paraId="024F8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负责学校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图书馆建设和各项服务工作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制定图书馆的发展规划、工作计划、经费预算及各项规章制度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负责文献资源采购招投标文件的编制等工作；负责收集各种出版信息，有计划、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有针对性地进行文献资源系统订购，按时完成采购任务，定期发布文献资源馆藏数据和建设进展报告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；负责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编制图书馆学科服务发展规划，提交学科服务相关报告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树立“一切为了读者”的服务理念，爱岗敬业，做好图书馆业务及读者服务日负责图书馆网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络与信息系统日常运行与安全管理工作，确保网络畅通、计算机等设备正常工作；组织馆内的学术研究和馆际的学术交流活动；处理馆际协作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活动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。</w:t>
      </w:r>
    </w:p>
    <w:p w14:paraId="1C867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下设资源建设部、读者服务部、特藏与学科服务部、综合办公室、信息技术部等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5个科室。</w:t>
      </w:r>
    </w:p>
    <w:p w14:paraId="753C5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、科技部（无人机开发及数据应用教育厅重点实验室合署，</w:t>
      </w:r>
      <w:r>
        <w:rPr>
          <w:rFonts w:ascii="黑体" w:hAnsi="黑体" w:eastAsia="黑体" w:cs="黑体"/>
          <w:sz w:val="32"/>
          <w:szCs w:val="32"/>
        </w:rPr>
        <w:t>博士后工作站挂靠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172CC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制定和修订学校科研管理规章制度并监督执行；科技计划的制定和实施；各级各类科研项目以及科技平台的组织申报、评审推荐、中期检查、结题验收和经费管理等工作；负责各级各类科技奖励申报、组织、协调等工作；负责各类科技成果的组织培育、申报、鉴定、推广等工作；负责组织协调校学术委员会、校科协日常工作，组织全校性学术活动；负责统筹协调学校各院（部）之间以及学校与兄弟院校、科研企业的学术交流；负责组织协调学校科技开发和产学研工作。负责做好教育厅重点实验室建设工作。负责</w:t>
      </w:r>
      <w:r>
        <w:rPr>
          <w:rFonts w:ascii="仿宋" w:hAnsi="仿宋" w:eastAsia="仿宋" w:cs="仿宋"/>
          <w:sz w:val="32"/>
          <w:szCs w:val="32"/>
        </w:rPr>
        <w:t>博士后工作站运行和管理工作。协调河海大学研究生培养基地运行和管理工作。</w:t>
      </w:r>
    </w:p>
    <w:p w14:paraId="562054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下设综合科、平台建设科、工作站管理办公室等3个科室。</w:t>
      </w:r>
    </w:p>
    <w:p w14:paraId="6E0EC8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、人力资源部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教师发展中心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党委教师工作部</w:t>
      </w:r>
      <w:r>
        <w:rPr>
          <w:rFonts w:hint="eastAsia" w:ascii="黑体" w:hAnsi="黑体" w:eastAsia="黑体" w:cs="黑体"/>
          <w:sz w:val="32"/>
          <w:szCs w:val="32"/>
        </w:rPr>
        <w:t>合署）</w:t>
      </w:r>
    </w:p>
    <w:p w14:paraId="7D3D03F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负责学校师资队伍建设（含职称评聘、人才计划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干部选配</w:t>
      </w:r>
      <w:r>
        <w:rPr>
          <w:rFonts w:hint="eastAsia" w:ascii="仿宋" w:hAnsi="仿宋" w:eastAsia="仿宋" w:cs="仿宋"/>
          <w:sz w:val="32"/>
          <w:szCs w:val="32"/>
        </w:rPr>
        <w:t>等）、其他人力资源调配、考核、教职工日常管理与考核、劳动工资与社保；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协助制订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单位目标任务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书；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统筹学校教师培训资源，组织实施师德师风、学术素养、科研能力、教学水平等培训；教师在职攻读学位管理；教师（杰出人才）培育与管理；提供教师发展咨询服务</w:t>
      </w:r>
      <w:r>
        <w:rPr>
          <w:rFonts w:hint="eastAsia" w:ascii="仿宋" w:hAnsi="仿宋" w:eastAsia="仿宋" w:cs="仿宋"/>
          <w:sz w:val="32"/>
          <w:szCs w:val="32"/>
        </w:rPr>
        <w:t>等工作。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贯彻落实上级关于教师思想教育工作的文件精神，落实校党委关于教师思想教育工作的决议、决定和工作部署，统筹教师的思想教育工作，指导二级单位开展教师思想教育工作；加强教师的师德师风教育，增强教师立德树人、教书育人的责任担当；建立健全师德师风建设长效机制。</w:t>
      </w:r>
    </w:p>
    <w:p w14:paraId="5DE581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下设综合科、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人事人才科、</w:t>
      </w:r>
      <w:r>
        <w:rPr>
          <w:rFonts w:hint="eastAsia" w:ascii="仿宋" w:hAnsi="仿宋" w:eastAsia="仿宋" w:cs="仿宋"/>
          <w:sz w:val="32"/>
          <w:szCs w:val="32"/>
        </w:rPr>
        <w:t>劳资科、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教师发展科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党委教师工作部办公室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个科室。</w:t>
      </w:r>
    </w:p>
    <w:p w14:paraId="029226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、学生工作部（人武部挂靠，一站式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学生社区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留学服务中心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招生办公室、大学生就业指导服务中心内设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45174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负责大学生思想政治教育、心理健康教育、资助育人、学风建设、日常管理以及辅导员队伍建设、制度建设和自身建设、征兵和军训工作，指导各学院有效开展学生工作。负责招生和就业指导工作；负责大学生一站式服务和出国出境服务协调等工作；协助做好创新创业工作。</w:t>
      </w:r>
    </w:p>
    <w:p w14:paraId="5FD4E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下设：综合科、教育管理科、资助中心、心理咨询中心等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个科室。</w:t>
      </w:r>
    </w:p>
    <w:p w14:paraId="586A9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、后勤保障部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（基建办公室挂靠）</w:t>
      </w:r>
    </w:p>
    <w:p w14:paraId="79F88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负责学校后勤综合业务管理、校园设施建设维护，对后勤社会化实体进行监督管理工作；负责学校医疗服务、膳食供应；负责学校基本建设管理工作；</w:t>
      </w:r>
    </w:p>
    <w:p w14:paraId="46C815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下设总务科、综合科、前期规划科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经济管理科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施工管理维修科等5个科室。</w:t>
      </w:r>
    </w:p>
    <w:p w14:paraId="4E8640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、财务部</w:t>
      </w:r>
    </w:p>
    <w:p w14:paraId="00F4E0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负责学校财务预算编制、执行和控制；负责学校会计核算、收费及财务票据管理、会计档案管理和其他财务管理工作；负责学校经费筹措、内部审计管理等工作。</w:t>
      </w:r>
    </w:p>
    <w:p w14:paraId="294B56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下设综合科、核算科等2个科室。</w:t>
      </w:r>
    </w:p>
    <w:p w14:paraId="39EBD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资产管理部（信息中心挂靠）</w:t>
      </w:r>
    </w:p>
    <w:p w14:paraId="2F0A1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学校固定资产采购、验收和管理等工作。建立健全学校资产管理制度；清查学校资产、产权登记/界定、督促检查耗材使用情况；负责资产的合理配置、调拨审批；商业资产经营的监控和管理工作；教师公寓等房屋、教学设备等仪器设备等管理；网络、数字化校园建设、信息化建设；负责对大型精密贵重仪器采购的审核及使用情况的统计等。</w:t>
      </w:r>
    </w:p>
    <w:p w14:paraId="48485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下设综合科、资产科、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设备管理科</w:t>
      </w:r>
      <w:r>
        <w:rPr>
          <w:rFonts w:hint="eastAsia" w:ascii="仿宋" w:hAnsi="仿宋" w:eastAsia="仿宋" w:cs="仿宋"/>
          <w:sz w:val="32"/>
          <w:szCs w:val="32"/>
        </w:rPr>
        <w:t>、信息中心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等4</w:t>
      </w:r>
      <w:r>
        <w:rPr>
          <w:rFonts w:hint="eastAsia" w:ascii="仿宋" w:hAnsi="仿宋" w:eastAsia="仿宋" w:cs="仿宋"/>
          <w:sz w:val="32"/>
          <w:szCs w:val="32"/>
        </w:rPr>
        <w:t>个科室。</w:t>
      </w:r>
    </w:p>
    <w:p w14:paraId="044D4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、继续教育学院</w:t>
      </w:r>
    </w:p>
    <w:p w14:paraId="75351E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负责管理全校继续教育（含学生综合能力提升培训、成人学历教育、学生职业技能培训、社会培训项目、职业资格考证培训）工作。</w:t>
      </w:r>
    </w:p>
    <w:p w14:paraId="77748B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下设综合科、校内培训科、校外培训科等3个科室。</w:t>
      </w:r>
    </w:p>
    <w:p w14:paraId="1A6EEC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、郑蒲港校区管理委员会</w:t>
      </w:r>
    </w:p>
    <w:p w14:paraId="2217BB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负责协调郑蒲港校区的学生管理、教学管理、后勤管理和日常行政管理工作。</w:t>
      </w:r>
    </w:p>
    <w:p w14:paraId="56531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下设综合办公室、学生工作办公室、教学科研办公室等3个科室。</w:t>
      </w:r>
    </w:p>
    <w:p w14:paraId="409FA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直属企业设置如下：</w:t>
      </w:r>
    </w:p>
    <w:p w14:paraId="3F2FBE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、江苏文天水利规划设计研究院有限公司</w:t>
      </w:r>
    </w:p>
    <w:p w14:paraId="189EE5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负责水利水电工程咨询、规划、设计；市政工程设计、道路桥梁设计；水资源规划、调查评价及论证；风景园林工程设计；建筑行业工程设计；建筑智能化工程设计；建筑工程总承包。</w:t>
      </w:r>
    </w:p>
    <w:p w14:paraId="34C29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下设综合处、规划设计处、计划经营处等3个部门。</w:t>
      </w:r>
    </w:p>
    <w:p w14:paraId="65498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、南京皖工高新技术研究院有限公司</w:t>
      </w:r>
    </w:p>
    <w:p w14:paraId="0BBF2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有关领域的基础研究和应用基础研究工作，解决结合地区的主导产业以及有些企业的关键技术问题：（1）从事应用基础研究，承担各类横向课题；（2）积极申报南京市、江苏省以及国家的计划科研课题，如省市科技成果转化类、省自然科学基金等，国家自然科学基金、社科类基金、科技支撑计划等；（3）申报市级省级科技平台，包括重点实验室和工程中心等。形成成果：课题研究成果、发明专利、论文论著、研究经费和申报各类科技进步奖等。</w:t>
      </w:r>
    </w:p>
    <w:p w14:paraId="1F403D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下设综合办公室、水科学与工程研究所、新能源科学与工程研究所和地下水科学与工程研究所等4个部门。</w:t>
      </w:r>
    </w:p>
    <w:p w14:paraId="58877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学校咨询委员会的职能按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（皖工校政〔2022〕359号）执行。</w:t>
      </w:r>
    </w:p>
    <w:p w14:paraId="33302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原文件（皖工校政〔202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号）废止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皖工校政〔202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）文件中不一致的内容以本文件为准。</w:t>
      </w:r>
    </w:p>
    <w:p w14:paraId="355AA3F2"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5799230">
      <w:pPr>
        <w:widowControl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 w14:paraId="32165FCF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1B02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3B03364">
                          <w:p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3B03364">
                    <w:pPr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8C937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71146F8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E097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7B127"/>
    <w:multiLevelType w:val="singleLevel"/>
    <w:tmpl w:val="A567B12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90CDEE"/>
    <w:multiLevelType w:val="singleLevel"/>
    <w:tmpl w:val="BE90CDE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0D2428"/>
    <w:multiLevelType w:val="singleLevel"/>
    <w:tmpl w:val="EE0D242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67FD3633"/>
    <w:multiLevelType w:val="singleLevel"/>
    <w:tmpl w:val="67FD363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jM3MDZmNWIxZDY4YTI0NTZmZDE1ODg3MzMyZDgifQ=="/>
  </w:docVars>
  <w:rsids>
    <w:rsidRoot w:val="2DBD6FB8"/>
    <w:rsid w:val="2DBD6FB8"/>
    <w:rsid w:val="43CC2C95"/>
    <w:rsid w:val="7A8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40" w:lineRule="auto"/>
      <w:ind w:firstLine="630"/>
    </w:pPr>
    <w:rPr>
      <w:rFonts w:ascii="仿宋_GB2312" w:hAnsi="Times New Roman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4151</Words>
  <Characters>4200</Characters>
  <Lines>0</Lines>
  <Paragraphs>0</Paragraphs>
  <TotalTime>2</TotalTime>
  <ScaleCrop>false</ScaleCrop>
  <LinksUpToDate>false</LinksUpToDate>
  <CharactersWithSpaces>4285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2024-10-17T00:50:00Z</dcterms:created>
  <dc:creator>秧秧</dc:creator>
  <cp:lastModifiedBy>麒麒</cp:lastModifiedBy>
  <dcterms:modified xsi:type="dcterms:W3CDTF">2024-10-18T08:02:36Z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E39765779B4D4027802275D2F893F318_11</vt:lpwstr>
  </property>
</Properties>
</file>