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606" w:firstLineChars="400"/>
        <w:rPr>
          <w:b/>
          <w:sz w:val="40"/>
        </w:rPr>
      </w:pPr>
      <w:r>
        <w:rPr>
          <w:rFonts w:hint="eastAsia"/>
          <w:b/>
          <w:sz w:val="40"/>
        </w:rPr>
        <w:t>皖江工学院20</w:t>
      </w:r>
      <w:r>
        <w:rPr>
          <w:b/>
          <w:sz w:val="40"/>
        </w:rPr>
        <w:t>2</w:t>
      </w:r>
      <w:r>
        <w:rPr>
          <w:rFonts w:hint="eastAsia"/>
          <w:b/>
          <w:sz w:val="40"/>
          <w:lang w:val="en-US" w:eastAsia="zh-CN"/>
        </w:rPr>
        <w:t>4</w:t>
      </w:r>
      <w:r>
        <w:rPr>
          <w:rFonts w:hint="eastAsia"/>
          <w:b/>
          <w:sz w:val="40"/>
        </w:rPr>
        <w:t>年专升本考试</w:t>
      </w:r>
    </w:p>
    <w:p>
      <w:pPr>
        <w:spacing w:line="560" w:lineRule="exact"/>
        <w:jc w:val="center"/>
        <w:rPr>
          <w:rFonts w:ascii="方正仿宋_GBK" w:eastAsia="方正仿宋_GBK"/>
          <w:sz w:val="32"/>
          <w:szCs w:val="32"/>
        </w:rPr>
      </w:pPr>
      <w:r>
        <w:rPr>
          <w:rFonts w:hint="eastAsia"/>
          <w:b/>
          <w:sz w:val="40"/>
        </w:rPr>
        <w:t>《工程项目管理》考试大纲</w:t>
      </w:r>
    </w:p>
    <w:p>
      <w:pPr>
        <w:spacing w:line="0" w:lineRule="atLeast"/>
        <w:ind w:firstLine="640" w:firstLineChars="200"/>
        <w:jc w:val="left"/>
        <w:rPr>
          <w:rFonts w:ascii="方正仿宋_GBK" w:eastAsia="方正仿宋_GBK"/>
          <w:sz w:val="32"/>
          <w:szCs w:val="32"/>
        </w:rPr>
      </w:pPr>
    </w:p>
    <w:p>
      <w:pPr>
        <w:spacing w:line="0" w:lineRule="atLeast"/>
        <w:ind w:firstLine="640" w:firstLineChars="200"/>
        <w:jc w:val="left"/>
        <w:rPr>
          <w:rFonts w:ascii="黑体" w:hAnsi="黑体" w:eastAsia="黑体" w:cs="黑体"/>
          <w:sz w:val="32"/>
          <w:szCs w:val="32"/>
        </w:rPr>
      </w:pPr>
      <w:r>
        <w:rPr>
          <w:rFonts w:hint="eastAsia" w:ascii="黑体" w:hAnsi="黑体" w:eastAsia="黑体" w:cs="黑体"/>
          <w:sz w:val="32"/>
          <w:szCs w:val="32"/>
        </w:rPr>
        <w:t>一、总纲</w:t>
      </w:r>
    </w:p>
    <w:p>
      <w:pPr>
        <w:spacing w:line="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普通专升本招生考试属于国家统一招生考试，安徽省普通高校专升本招生对象为安徽省省属普通高校（以及经过批准举办普通高等职业教育的成人高等院校）的应届全日制普通高职（专科）毕业生、安徽省具有普通高职（专科）毕业学历的退役士兵。符合条件的考生须取得高职（专科）毕业证书。</w:t>
      </w:r>
    </w:p>
    <w:p>
      <w:pPr>
        <w:spacing w:line="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工程项目管理》考试是我校工程管理专业专升本招生考试专业课考试科目之一，考试对象为报考我校工程管理专业的考生。为贯彻落实党中央国务院关于做好高校毕业生就业工作有关精神和国务院常务会议提出的扩大普通专升本规模要求，按照教育部部署和要求，根据《安徽省202</w:t>
      </w:r>
      <w:r>
        <w:rPr>
          <w:rFonts w:hint="eastAsia" w:ascii="仿宋" w:hAnsi="仿宋" w:eastAsia="仿宋" w:cs="仿宋"/>
          <w:sz w:val="32"/>
          <w:szCs w:val="32"/>
          <w:lang w:val="en-US" w:eastAsia="zh-CN"/>
        </w:rPr>
        <w:t>4</w:t>
      </w:r>
      <w:bookmarkStart w:id="0" w:name="_GoBack"/>
      <w:bookmarkEnd w:id="0"/>
      <w:r>
        <w:rPr>
          <w:rFonts w:hint="eastAsia" w:ascii="仿宋" w:hAnsi="仿宋" w:eastAsia="仿宋" w:cs="仿宋"/>
          <w:sz w:val="32"/>
          <w:szCs w:val="32"/>
        </w:rPr>
        <w:t>年普通高校专升本考试招生工作操作办法》文件精神，特制定本科目考试大纲。大纲制定力求反映本专业招生类型的特点，科学、公平、准确、规范地测评考生对工程项目及工程项目管理的概念及规律、工程项目管理中进度和质量及成本等各方面问题、工期和进度的计算方法等知识掌握水平，考生分析问题和解决问题及综合知识运用能力。考生可根据本大纲的内容和要求自行学习相关内容和掌握有关知识。考试采用笔试的方式进行（免笔试学生须参加面试），考试时间为1</w:t>
      </w:r>
      <w:r>
        <w:rPr>
          <w:rFonts w:ascii="仿宋" w:hAnsi="仿宋" w:eastAsia="仿宋" w:cs="仿宋"/>
          <w:sz w:val="32"/>
          <w:szCs w:val="32"/>
        </w:rPr>
        <w:t>2</w:t>
      </w:r>
      <w:r>
        <w:rPr>
          <w:rFonts w:hint="eastAsia" w:ascii="仿宋" w:hAnsi="仿宋" w:eastAsia="仿宋" w:cs="仿宋"/>
          <w:sz w:val="32"/>
          <w:szCs w:val="32"/>
        </w:rPr>
        <w:t>0分钟。</w:t>
      </w:r>
    </w:p>
    <w:p>
      <w:pPr>
        <w:spacing w:line="0" w:lineRule="atLeast"/>
        <w:ind w:firstLine="640" w:firstLineChars="200"/>
        <w:jc w:val="left"/>
        <w:rPr>
          <w:rFonts w:ascii="仿宋" w:hAnsi="仿宋" w:eastAsia="仿宋" w:cs="仿宋"/>
          <w:sz w:val="32"/>
          <w:szCs w:val="32"/>
        </w:rPr>
      </w:pPr>
    </w:p>
    <w:p>
      <w:pPr>
        <w:spacing w:line="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本大纲由皖江工学院管理学院负责解释。</w:t>
      </w:r>
    </w:p>
    <w:p>
      <w:pPr>
        <w:spacing w:line="0" w:lineRule="atLeast"/>
        <w:ind w:firstLine="640" w:firstLineChars="200"/>
        <w:jc w:val="left"/>
        <w:rPr>
          <w:rFonts w:ascii="仿宋" w:hAnsi="仿宋" w:eastAsia="仿宋" w:cs="仿宋"/>
          <w:sz w:val="32"/>
          <w:szCs w:val="32"/>
        </w:rPr>
      </w:pPr>
    </w:p>
    <w:p>
      <w:pPr>
        <w:numPr>
          <w:ilvl w:val="0"/>
          <w:numId w:val="1"/>
        </w:numPr>
        <w:spacing w:line="0" w:lineRule="atLeast"/>
        <w:ind w:firstLine="640" w:firstLineChars="200"/>
        <w:jc w:val="left"/>
        <w:rPr>
          <w:rFonts w:ascii="黑体" w:hAnsi="黑体" w:eastAsia="黑体" w:cs="黑体"/>
          <w:sz w:val="32"/>
          <w:szCs w:val="32"/>
        </w:rPr>
      </w:pPr>
      <w:r>
        <w:rPr>
          <w:rFonts w:hint="eastAsia" w:ascii="黑体" w:hAnsi="黑体" w:eastAsia="黑体" w:cs="黑体"/>
          <w:sz w:val="32"/>
          <w:szCs w:val="32"/>
        </w:rPr>
        <w:t>考核目标与要求</w:t>
      </w:r>
    </w:p>
    <w:p>
      <w:pPr>
        <w:spacing w:line="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考核考生对工程项目及工程项目管理的概念及规律、工程项目管理中进度和质量及成本等各方面问题、工期和进度的计算方法等知识掌握水平，考察考生分析问题、解决问题及综合知识运用能力。</w:t>
      </w:r>
    </w:p>
    <w:p>
      <w:pPr>
        <w:spacing w:line="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要求考生理解和掌握工程项目管理的基本概念、基本理论和基本方法，熟悉工程项目管理中进度、质量和成本三大目标间的关系，能运用工程项目管理知识进行案例分析，熟练工期进度等方面的计算，具备分析问题和解决问题的基本能力。</w:t>
      </w:r>
    </w:p>
    <w:p>
      <w:pPr>
        <w:spacing w:line="0" w:lineRule="atLeast"/>
        <w:ind w:firstLine="640" w:firstLineChars="200"/>
        <w:jc w:val="left"/>
        <w:rPr>
          <w:rFonts w:ascii="黑体" w:hAnsi="黑体" w:eastAsia="黑体" w:cs="黑体"/>
          <w:sz w:val="32"/>
          <w:szCs w:val="32"/>
        </w:rPr>
      </w:pPr>
    </w:p>
    <w:p>
      <w:pPr>
        <w:spacing w:line="0" w:lineRule="atLeast"/>
        <w:ind w:firstLine="640" w:firstLineChars="200"/>
        <w:jc w:val="left"/>
        <w:rPr>
          <w:rFonts w:ascii="黑体" w:hAnsi="黑体" w:eastAsia="黑体" w:cs="黑体"/>
          <w:sz w:val="32"/>
          <w:szCs w:val="32"/>
        </w:rPr>
      </w:pPr>
      <w:r>
        <w:rPr>
          <w:rFonts w:hint="eastAsia" w:ascii="黑体" w:hAnsi="黑体" w:eastAsia="黑体" w:cs="黑体"/>
          <w:sz w:val="32"/>
          <w:szCs w:val="32"/>
        </w:rPr>
        <w:t>三、考试范围与要求</w:t>
      </w:r>
    </w:p>
    <w:p>
      <w:pPr>
        <w:spacing w:line="400" w:lineRule="exact"/>
        <w:ind w:firstLine="560" w:firstLineChars="200"/>
        <w:rPr>
          <w:rFonts w:ascii="仿宋" w:hAnsi="仿宋" w:eastAsia="仿宋" w:cs="仿宋"/>
          <w:sz w:val="28"/>
          <w:szCs w:val="28"/>
        </w:rPr>
      </w:pPr>
      <w:r>
        <w:rPr>
          <w:rFonts w:ascii="仿宋" w:hAnsi="仿宋" w:eastAsia="仿宋" w:cs="仿宋"/>
          <w:sz w:val="28"/>
          <w:szCs w:val="28"/>
        </w:rPr>
        <w:t>第一章</w:t>
      </w:r>
      <w:r>
        <w:rPr>
          <w:rFonts w:hint="eastAsia" w:ascii="仿宋" w:hAnsi="仿宋" w:eastAsia="仿宋" w:cs="仿宋"/>
          <w:sz w:val="28"/>
          <w:szCs w:val="28"/>
        </w:rPr>
        <w:t xml:space="preserve"> </w:t>
      </w:r>
      <w:r>
        <w:rPr>
          <w:rFonts w:ascii="仿宋" w:hAnsi="仿宋" w:eastAsia="仿宋" w:cs="仿宋"/>
          <w:sz w:val="28"/>
          <w:szCs w:val="28"/>
        </w:rPr>
        <w:t>绪论</w:t>
      </w:r>
    </w:p>
    <w:p>
      <w:pPr>
        <w:spacing w:line="400" w:lineRule="exact"/>
        <w:ind w:firstLine="560" w:firstLineChars="200"/>
        <w:rPr>
          <w:rFonts w:ascii="仿宋" w:hAnsi="仿宋" w:eastAsia="仿宋" w:cs="仿宋"/>
          <w:sz w:val="28"/>
          <w:szCs w:val="28"/>
        </w:rPr>
      </w:pPr>
      <w:r>
        <w:rPr>
          <w:rFonts w:ascii="仿宋" w:hAnsi="仿宋" w:eastAsia="仿宋" w:cs="仿宋"/>
          <w:sz w:val="28"/>
          <w:szCs w:val="28"/>
        </w:rPr>
        <w:t>（一）项目的</w:t>
      </w:r>
      <w:r>
        <w:rPr>
          <w:rFonts w:hint="eastAsia" w:ascii="仿宋" w:hAnsi="仿宋" w:eastAsia="仿宋" w:cs="仿宋"/>
          <w:sz w:val="28"/>
          <w:szCs w:val="28"/>
        </w:rPr>
        <w:t>内涵</w:t>
      </w:r>
      <w:r>
        <w:rPr>
          <w:rFonts w:ascii="仿宋" w:hAnsi="仿宋" w:eastAsia="仿宋" w:cs="仿宋"/>
          <w:sz w:val="28"/>
          <w:szCs w:val="28"/>
        </w:rPr>
        <w:t>与</w:t>
      </w:r>
      <w:r>
        <w:rPr>
          <w:rFonts w:hint="eastAsia" w:ascii="仿宋" w:hAnsi="仿宋" w:eastAsia="仿宋" w:cs="仿宋"/>
          <w:sz w:val="28"/>
          <w:szCs w:val="28"/>
        </w:rPr>
        <w:t>特点</w:t>
      </w:r>
      <w:r>
        <w:rPr>
          <w:rFonts w:ascii="仿宋" w:hAnsi="仿宋" w:eastAsia="仿宋" w:cs="仿宋"/>
          <w:sz w:val="28"/>
          <w:szCs w:val="28"/>
        </w:rPr>
        <w:t>（重点）</w:t>
      </w:r>
    </w:p>
    <w:p>
      <w:pPr>
        <w:spacing w:line="400" w:lineRule="exact"/>
        <w:ind w:firstLine="560" w:firstLineChars="200"/>
        <w:rPr>
          <w:rFonts w:ascii="仿宋" w:hAnsi="仿宋" w:eastAsia="仿宋" w:cs="仿宋"/>
          <w:sz w:val="28"/>
          <w:szCs w:val="28"/>
        </w:rPr>
      </w:pPr>
      <w:r>
        <w:rPr>
          <w:rFonts w:ascii="仿宋" w:hAnsi="仿宋" w:eastAsia="仿宋" w:cs="仿宋"/>
          <w:sz w:val="28"/>
          <w:szCs w:val="28"/>
        </w:rPr>
        <w:t>（二）工程项目的</w:t>
      </w:r>
      <w:r>
        <w:rPr>
          <w:rFonts w:hint="eastAsia" w:ascii="仿宋" w:hAnsi="仿宋" w:eastAsia="仿宋" w:cs="仿宋"/>
          <w:sz w:val="28"/>
          <w:szCs w:val="28"/>
        </w:rPr>
        <w:t>内涵</w:t>
      </w:r>
      <w:r>
        <w:rPr>
          <w:rFonts w:ascii="仿宋" w:hAnsi="仿宋" w:eastAsia="仿宋" w:cs="仿宋"/>
          <w:sz w:val="28"/>
          <w:szCs w:val="28"/>
        </w:rPr>
        <w:t>与</w:t>
      </w:r>
      <w:r>
        <w:rPr>
          <w:rFonts w:hint="eastAsia" w:ascii="仿宋" w:hAnsi="仿宋" w:eastAsia="仿宋" w:cs="仿宋"/>
          <w:sz w:val="28"/>
          <w:szCs w:val="28"/>
        </w:rPr>
        <w:t>特殊性</w:t>
      </w:r>
      <w:r>
        <w:rPr>
          <w:rFonts w:ascii="仿宋" w:hAnsi="仿宋" w:eastAsia="仿宋" w:cs="仿宋"/>
          <w:sz w:val="28"/>
          <w:szCs w:val="28"/>
        </w:rPr>
        <w:t>、工程项目</w:t>
      </w:r>
      <w:r>
        <w:rPr>
          <w:rFonts w:hint="eastAsia" w:ascii="仿宋" w:hAnsi="仿宋" w:eastAsia="仿宋" w:cs="仿宋"/>
          <w:sz w:val="28"/>
          <w:szCs w:val="28"/>
        </w:rPr>
        <w:t>的</w:t>
      </w:r>
      <w:r>
        <w:rPr>
          <w:rFonts w:ascii="仿宋" w:hAnsi="仿宋" w:eastAsia="仿宋" w:cs="仿宋"/>
          <w:sz w:val="28"/>
          <w:szCs w:val="28"/>
        </w:rPr>
        <w:t>分解（重点）</w:t>
      </w:r>
    </w:p>
    <w:p>
      <w:pPr>
        <w:spacing w:line="400" w:lineRule="exact"/>
        <w:ind w:firstLine="560" w:firstLineChars="200"/>
        <w:rPr>
          <w:rFonts w:ascii="仿宋" w:hAnsi="仿宋" w:eastAsia="仿宋" w:cs="仿宋"/>
          <w:sz w:val="28"/>
          <w:szCs w:val="28"/>
        </w:rPr>
      </w:pPr>
      <w:r>
        <w:rPr>
          <w:rFonts w:ascii="仿宋" w:hAnsi="仿宋" w:eastAsia="仿宋" w:cs="仿宋"/>
          <w:sz w:val="28"/>
          <w:szCs w:val="28"/>
        </w:rPr>
        <w:t>（三）工程项目</w:t>
      </w:r>
      <w:r>
        <w:rPr>
          <w:rFonts w:hint="eastAsia" w:ascii="仿宋" w:hAnsi="仿宋" w:eastAsia="仿宋" w:cs="仿宋"/>
          <w:sz w:val="28"/>
          <w:szCs w:val="28"/>
        </w:rPr>
        <w:t>生命周期与</w:t>
      </w:r>
      <w:r>
        <w:rPr>
          <w:rFonts w:ascii="仿宋" w:hAnsi="仿宋" w:eastAsia="仿宋" w:cs="仿宋"/>
          <w:sz w:val="28"/>
          <w:szCs w:val="28"/>
        </w:rPr>
        <w:t>建设</w:t>
      </w:r>
      <w:r>
        <w:rPr>
          <w:rFonts w:hint="eastAsia" w:ascii="仿宋" w:hAnsi="仿宋" w:eastAsia="仿宋" w:cs="仿宋"/>
          <w:sz w:val="28"/>
          <w:szCs w:val="28"/>
        </w:rPr>
        <w:t>一般</w:t>
      </w:r>
      <w:r>
        <w:rPr>
          <w:rFonts w:ascii="仿宋" w:hAnsi="仿宋" w:eastAsia="仿宋" w:cs="仿宋"/>
          <w:sz w:val="28"/>
          <w:szCs w:val="28"/>
        </w:rPr>
        <w:t>程序（重点）</w:t>
      </w:r>
    </w:p>
    <w:p>
      <w:pPr>
        <w:spacing w:line="400" w:lineRule="exact"/>
        <w:ind w:firstLine="560" w:firstLineChars="200"/>
        <w:rPr>
          <w:rFonts w:ascii="仿宋" w:hAnsi="仿宋" w:eastAsia="仿宋" w:cs="仿宋"/>
          <w:sz w:val="28"/>
          <w:szCs w:val="28"/>
        </w:rPr>
      </w:pPr>
      <w:r>
        <w:rPr>
          <w:rFonts w:ascii="仿宋" w:hAnsi="仿宋" w:eastAsia="仿宋" w:cs="仿宋"/>
          <w:sz w:val="28"/>
          <w:szCs w:val="28"/>
        </w:rPr>
        <w:t>（四）项目管理知识体系及过程（一般）</w:t>
      </w:r>
    </w:p>
    <w:p>
      <w:pPr>
        <w:spacing w:line="400" w:lineRule="exact"/>
        <w:ind w:firstLine="560" w:firstLineChars="200"/>
        <w:rPr>
          <w:rFonts w:ascii="仿宋" w:hAnsi="仿宋" w:eastAsia="仿宋" w:cs="仿宋"/>
          <w:sz w:val="28"/>
          <w:szCs w:val="28"/>
        </w:rPr>
      </w:pPr>
      <w:r>
        <w:rPr>
          <w:rFonts w:ascii="仿宋" w:hAnsi="仿宋" w:eastAsia="仿宋" w:cs="仿宋"/>
          <w:sz w:val="28"/>
          <w:szCs w:val="28"/>
        </w:rPr>
        <w:t>（五）工程项目类型、工程项目利益相关方（一般）</w:t>
      </w:r>
    </w:p>
    <w:p>
      <w:pPr>
        <w:spacing w:line="400" w:lineRule="exact"/>
        <w:ind w:firstLine="560" w:firstLineChars="200"/>
        <w:rPr>
          <w:rFonts w:ascii="仿宋" w:hAnsi="仿宋" w:eastAsia="仿宋" w:cs="仿宋"/>
          <w:sz w:val="28"/>
          <w:szCs w:val="28"/>
        </w:rPr>
      </w:pP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第二章 工程项目投资决策与立项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（一）工程项目可行性研究主要内容及作用（重点）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（二）工程项目决策的概念与主体</w:t>
      </w:r>
      <w:r>
        <w:rPr>
          <w:rFonts w:ascii="仿宋" w:hAnsi="仿宋" w:eastAsia="仿宋" w:cs="仿宋"/>
          <w:sz w:val="28"/>
          <w:szCs w:val="28"/>
        </w:rPr>
        <w:t>（次重点）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（三）我国现行工程项目立项制度（次重点）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（四）工程项目评价的内容（一般）</w:t>
      </w:r>
    </w:p>
    <w:p>
      <w:pPr>
        <w:spacing w:line="400" w:lineRule="exact"/>
        <w:rPr>
          <w:rFonts w:ascii="仿宋" w:hAnsi="仿宋" w:eastAsia="仿宋" w:cs="仿宋"/>
          <w:sz w:val="28"/>
          <w:szCs w:val="28"/>
        </w:rPr>
      </w:pP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第三章 工程项目发包与组织策划</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（一）工程项目经典发包方式及其特点、业主方项目管理方式（重点）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（二）工程项目管理常见组织结构及其特点（重点）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（三）工程项目管理组织策划主要内容（次重点）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（四）管理工作流程策划内容及工作流程图（次重点）</w:t>
      </w:r>
    </w:p>
    <w:p>
      <w:pPr>
        <w:spacing w:line="400" w:lineRule="exact"/>
        <w:ind w:firstLine="560" w:firstLineChars="200"/>
        <w:rPr>
          <w:rFonts w:ascii="仿宋" w:hAnsi="仿宋" w:eastAsia="仿宋" w:cs="仿宋"/>
          <w:sz w:val="28"/>
          <w:szCs w:val="28"/>
        </w:rPr>
      </w:pP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第四章 工程项目招标与合同管理</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（一）工程项目招标内涵及其主要方式（重点）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（二）工程项目招标策划的主要内容（含招标方式、招标范围及标准、招标程序）（重点）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（三）工程项目合同类型及其特点（重点）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（四）现行法律法规对我国工程招标实施的相关规定（含招标文件主要内容、资格审查类型、评标方法与标准、投标保证金和履约保证金、关键时间节点等）（重点）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（五）工程变更、索赔的概念、内容与程序（重点）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（六）《建设工程施工合同（示范文本）》中相关规定（含项目参与各方权责规定、开工通知、施工组织设计、隐蔽工程检查、不可抗力、合同分包）（次重点）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（七）标准施工合同文件的组织及解释优先次序（次重点）</w:t>
      </w:r>
    </w:p>
    <w:p>
      <w:pPr>
        <w:spacing w:line="400" w:lineRule="exact"/>
        <w:ind w:firstLine="560" w:firstLineChars="200"/>
        <w:rPr>
          <w:rFonts w:ascii="仿宋" w:hAnsi="仿宋" w:eastAsia="仿宋" w:cs="仿宋"/>
          <w:sz w:val="28"/>
          <w:szCs w:val="28"/>
        </w:rPr>
      </w:pP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第五章 工程项目进度管理</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（一）工程项目活动的概念及具体设计（重点）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（二）工程项目进度计划的表示方法（重点）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（三）双代号网络图的绘制（重点）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（四）基于双代号网络图的时间参数计算（六时标法）（重点）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（五）关键线路、关键活动的概念及作用（重点）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（六）进度计划检查与偏差分析方法（重点）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（七）进度控制措施（次重点）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（八）工程进度影响因素（次重点）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（九）进度计划的优化类型（一般）</w:t>
      </w:r>
    </w:p>
    <w:p>
      <w:pPr>
        <w:spacing w:line="400" w:lineRule="exact"/>
        <w:ind w:firstLine="560" w:firstLineChars="200"/>
        <w:rPr>
          <w:rFonts w:ascii="仿宋" w:hAnsi="仿宋" w:eastAsia="仿宋" w:cs="仿宋"/>
          <w:sz w:val="28"/>
          <w:szCs w:val="28"/>
        </w:rPr>
      </w:pP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第六章 工程项目投资管理</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（一）投资、工程造价的含义、工程项目投资的概念及其构成（重点）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（二）工程估价文件的类型及其区别与作用（重点）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（三）投资控制要点及设计阶段投资控制方法（重点）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（四）施工阶段按合同规定支付工程款的计算（重点）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（五）工程投资计划的编制方法（次重点）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（六）决策、招标和施工阶段投资控制主要环节或内容（一般）</w:t>
      </w:r>
    </w:p>
    <w:p>
      <w:pPr>
        <w:spacing w:line="400" w:lineRule="exact"/>
        <w:ind w:firstLine="560" w:firstLineChars="200"/>
        <w:rPr>
          <w:rFonts w:ascii="仿宋" w:hAnsi="仿宋" w:eastAsia="仿宋" w:cs="仿宋"/>
          <w:sz w:val="28"/>
          <w:szCs w:val="28"/>
        </w:rPr>
      </w:pP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第七章 工程项目质量管理</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（一）质量、工程项目质量的概念及特点（重点）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（二）工程项目质量影响因素（重点）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（三）施工质量控制点的含义及其设置原则（重点）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（四）工程项目质量控制概念及全面质量控制（P</w:t>
      </w:r>
      <w:r>
        <w:rPr>
          <w:rFonts w:ascii="仿宋" w:hAnsi="仿宋" w:eastAsia="仿宋" w:cs="仿宋"/>
          <w:sz w:val="28"/>
          <w:szCs w:val="28"/>
        </w:rPr>
        <w:t>DCA</w:t>
      </w:r>
      <w:r>
        <w:rPr>
          <w:rFonts w:hint="eastAsia" w:ascii="仿宋" w:hAnsi="仿宋" w:eastAsia="仿宋" w:cs="仿宋"/>
          <w:sz w:val="28"/>
          <w:szCs w:val="28"/>
        </w:rPr>
        <w:t>循环）（重点）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（五）质量管理的原则及过程模式（次重点）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（六）质量控制体系（组织体系、过程体系和对象体系）及设计、施工阶段质量控制要点（次重点）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（七）工程项目质量计划的概念及设计、施工阶段质量计划内容（一般）</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（八）工程项目施工质量验收的组织（一般）</w:t>
      </w:r>
    </w:p>
    <w:p>
      <w:pPr>
        <w:spacing w:line="400" w:lineRule="exact"/>
        <w:rPr>
          <w:rFonts w:ascii="仿宋" w:hAnsi="仿宋" w:eastAsia="仿宋" w:cs="仿宋"/>
          <w:sz w:val="28"/>
          <w:szCs w:val="28"/>
        </w:rPr>
      </w:pP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第八章 工程项目安全管理</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（一）工程项目安全的内涵（重点）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（二）工程项目安全事故分类、事故诱因及特点（重点）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（三）工程项目各项安全计划及事故应急预案（次重点）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（四）工程项目安全控制内容（一般）</w:t>
      </w:r>
    </w:p>
    <w:p>
      <w:pPr>
        <w:spacing w:line="400" w:lineRule="exact"/>
        <w:ind w:firstLine="560" w:firstLineChars="200"/>
        <w:rPr>
          <w:rFonts w:ascii="仿宋" w:hAnsi="仿宋" w:eastAsia="仿宋" w:cs="仿宋"/>
          <w:sz w:val="28"/>
          <w:szCs w:val="28"/>
        </w:rPr>
      </w:pP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第九章 工程项目风险管理</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（一）风险、风险管理的内涵、风险管理过程、风险分类（重点）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（二）风险应对的一般策略及措施（次重点）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（三）风险分配的一般原则（次重点）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（四）风险识别、估计和评价方法（一般）</w:t>
      </w:r>
    </w:p>
    <w:p>
      <w:pPr>
        <w:spacing w:line="400" w:lineRule="exact"/>
        <w:ind w:firstLine="560" w:firstLineChars="200"/>
        <w:rPr>
          <w:rFonts w:ascii="仿宋" w:hAnsi="仿宋" w:eastAsia="仿宋" w:cs="仿宋"/>
          <w:sz w:val="28"/>
          <w:szCs w:val="28"/>
        </w:rPr>
      </w:pP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第十章 工程项目收尾管理</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（一）工程项目竣工验收的概念与作用（重点）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（二）房屋建筑工程、水利工程竣工验收程序、条件和依据（次重点）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（三）工程项目投产准备工作的主要内容（一般）</w:t>
      </w:r>
    </w:p>
    <w:p>
      <w:pPr>
        <w:spacing w:line="400" w:lineRule="exact"/>
        <w:ind w:firstLine="560" w:firstLineChars="200"/>
        <w:rPr>
          <w:rFonts w:ascii="仿宋" w:hAnsi="仿宋" w:eastAsia="仿宋" w:cs="仿宋"/>
          <w:sz w:val="28"/>
          <w:szCs w:val="28"/>
        </w:rPr>
      </w:pP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第十一章 工程项目审计与后评价</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（一）工程项目后评价与项目评价的区别（次重点）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（二）工程项目后评价的作用、方法（次重点）</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（三）工程项目审计的内涵及类型（一般）</w:t>
      </w:r>
    </w:p>
    <w:p>
      <w:pPr>
        <w:spacing w:line="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 </w:t>
      </w:r>
    </w:p>
    <w:p>
      <w:pPr>
        <w:spacing w:line="0" w:lineRule="atLeast"/>
        <w:ind w:firstLine="600" w:firstLineChars="200"/>
        <w:jc w:val="left"/>
        <w:rPr>
          <w:rFonts w:ascii="黑体" w:hAnsi="黑体" w:eastAsia="黑体" w:cs="黑体"/>
          <w:sz w:val="30"/>
          <w:szCs w:val="30"/>
        </w:rPr>
      </w:pPr>
      <w:r>
        <w:rPr>
          <w:rFonts w:hint="eastAsia" w:ascii="黑体" w:hAnsi="黑体" w:eastAsia="黑体" w:cs="黑体"/>
          <w:sz w:val="30"/>
          <w:szCs w:val="30"/>
        </w:rPr>
        <w:t>四、考试教材与参考书</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1．教材：</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王卓甫,杨高升主编《工程项目管理原理与案例》(第三版)，中国水利水电出版社.2014</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2．参考书：</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（1）杨霖华、吕依然编，《建设工程项目管理》，清华大学出版社，2019</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（2）中国建筑业协会工程项目管理委员会主编《中国工程项目管理知识体系》（第二版），中国建筑工业出版社.2011</w:t>
      </w:r>
    </w:p>
    <w:p>
      <w:pPr>
        <w:spacing w:line="400" w:lineRule="exact"/>
        <w:rPr>
          <w:rFonts w:ascii="仿宋" w:hAnsi="仿宋" w:eastAsia="仿宋" w:cs="仿宋"/>
          <w:sz w:val="28"/>
          <w:szCs w:val="28"/>
        </w:rPr>
      </w:pPr>
    </w:p>
    <w:p>
      <w:pPr>
        <w:spacing w:line="0" w:lineRule="atLeast"/>
        <w:jc w:val="left"/>
        <w:rPr>
          <w:rFonts w:ascii="仿宋" w:hAnsi="仿宋" w:eastAsia="仿宋" w:cs="仿宋"/>
          <w:sz w:val="30"/>
          <w:szCs w:val="30"/>
        </w:rPr>
      </w:pPr>
    </w:p>
    <w:p>
      <w:pPr>
        <w:spacing w:line="0" w:lineRule="atLeast"/>
        <w:jc w:val="left"/>
        <w:rPr>
          <w:rFonts w:ascii="黑体" w:hAnsi="黑体" w:eastAsia="黑体"/>
          <w:sz w:val="30"/>
          <w:szCs w:val="30"/>
        </w:rPr>
      </w:pPr>
    </w:p>
    <w:p>
      <w:pPr>
        <w:spacing w:line="0" w:lineRule="atLeast"/>
        <w:jc w:val="left"/>
        <w:rPr>
          <w:rFonts w:ascii="黑体" w:hAnsi="黑体" w:eastAsia="黑体"/>
          <w:sz w:val="30"/>
          <w:szCs w:val="30"/>
        </w:rPr>
      </w:pPr>
    </w:p>
    <w:p>
      <w:pPr>
        <w:spacing w:line="0" w:lineRule="atLeast"/>
        <w:jc w:val="left"/>
        <w:rPr>
          <w:rFonts w:ascii="黑体" w:hAnsi="黑体" w:eastAsia="黑体"/>
          <w:sz w:val="30"/>
          <w:szCs w:val="30"/>
        </w:rPr>
      </w:pPr>
    </w:p>
    <w:p>
      <w:pPr>
        <w:spacing w:line="0" w:lineRule="atLeast"/>
        <w:jc w:val="left"/>
        <w:rPr>
          <w:rFonts w:ascii="黑体" w:hAnsi="黑体" w:eastAsia="黑体"/>
          <w:sz w:val="30"/>
          <w:szCs w:val="30"/>
        </w:rPr>
      </w:pPr>
    </w:p>
    <w:p>
      <w:pPr>
        <w:spacing w:line="0" w:lineRule="atLeast"/>
        <w:jc w:val="left"/>
        <w:rPr>
          <w:rFonts w:ascii="黑体" w:hAnsi="黑体" w:eastAsia="黑体"/>
          <w:sz w:val="30"/>
          <w:szCs w:val="30"/>
        </w:rPr>
      </w:pPr>
    </w:p>
    <w:p>
      <w:pPr>
        <w:spacing w:line="0" w:lineRule="atLeast"/>
        <w:jc w:val="left"/>
        <w:rPr>
          <w:rFonts w:ascii="黑体" w:hAnsi="黑体" w:eastAsia="黑体"/>
          <w:sz w:val="30"/>
          <w:szCs w:val="30"/>
        </w:rPr>
      </w:pPr>
    </w:p>
    <w:p>
      <w:pPr>
        <w:spacing w:line="0" w:lineRule="atLeast"/>
        <w:jc w:val="left"/>
        <w:rPr>
          <w:rFonts w:ascii="黑体" w:hAnsi="黑体" w:eastAsia="黑体"/>
          <w:sz w:val="30"/>
          <w:szCs w:val="30"/>
        </w:rPr>
      </w:pPr>
    </w:p>
    <w:p>
      <w:pPr>
        <w:spacing w:line="0" w:lineRule="atLeast"/>
        <w:jc w:val="left"/>
        <w:rPr>
          <w:rFonts w:ascii="黑体" w:hAnsi="黑体" w:eastAsia="黑体"/>
          <w:sz w:val="30"/>
          <w:szCs w:val="30"/>
        </w:rPr>
      </w:pPr>
    </w:p>
    <w:p>
      <w:pPr>
        <w:spacing w:line="0" w:lineRule="atLeast"/>
        <w:jc w:val="left"/>
        <w:rPr>
          <w:rFonts w:ascii="黑体" w:hAnsi="黑体" w:eastAsia="黑体"/>
          <w:sz w:val="30"/>
          <w:szCs w:val="30"/>
        </w:rPr>
      </w:pPr>
    </w:p>
    <w:p>
      <w:pPr>
        <w:spacing w:line="0" w:lineRule="atLeast"/>
        <w:jc w:val="left"/>
        <w:rPr>
          <w:rFonts w:ascii="黑体" w:hAnsi="黑体" w:eastAsia="黑体"/>
          <w:sz w:val="30"/>
          <w:szCs w:val="30"/>
        </w:rPr>
      </w:pPr>
    </w:p>
    <w:p>
      <w:pPr>
        <w:spacing w:line="0" w:lineRule="atLeast"/>
        <w:jc w:val="left"/>
        <w:rPr>
          <w:rFonts w:ascii="黑体" w:hAnsi="黑体" w:eastAsia="黑体"/>
          <w:sz w:val="30"/>
          <w:szCs w:val="30"/>
        </w:rPr>
      </w:pPr>
    </w:p>
    <w:p>
      <w:pPr>
        <w:spacing w:line="0" w:lineRule="atLeast"/>
        <w:jc w:val="left"/>
        <w:rPr>
          <w:rFonts w:ascii="黑体" w:hAnsi="黑体" w:eastAsia="黑体"/>
          <w:sz w:val="30"/>
          <w:szCs w:val="30"/>
        </w:rPr>
      </w:pPr>
    </w:p>
    <w:p>
      <w:pPr>
        <w:spacing w:line="0" w:lineRule="atLeast"/>
        <w:jc w:val="left"/>
        <w:rPr>
          <w:rFonts w:ascii="黑体" w:hAnsi="黑体" w:eastAsia="黑体"/>
          <w:sz w:val="30"/>
          <w:szCs w:val="30"/>
        </w:rPr>
      </w:pPr>
    </w:p>
    <w:p>
      <w:pPr>
        <w:spacing w:line="0" w:lineRule="atLeast"/>
        <w:jc w:val="left"/>
        <w:rPr>
          <w:rFonts w:ascii="黑体" w:hAnsi="黑体" w:eastAsia="黑体"/>
          <w:sz w:val="30"/>
          <w:szCs w:val="30"/>
        </w:rPr>
      </w:pPr>
    </w:p>
    <w:p>
      <w:pPr>
        <w:spacing w:line="0" w:lineRule="atLeast"/>
        <w:jc w:val="left"/>
        <w:rPr>
          <w:rFonts w:ascii="黑体" w:hAnsi="黑体" w:eastAsia="黑体"/>
          <w:sz w:val="30"/>
          <w:szCs w:val="30"/>
        </w:rPr>
      </w:pPr>
    </w:p>
    <w:p>
      <w:pPr>
        <w:spacing w:line="0" w:lineRule="atLeast"/>
        <w:jc w:val="left"/>
        <w:rPr>
          <w:rFonts w:ascii="黑体" w:hAnsi="黑体" w:eastAsia="黑体"/>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A3FBE"/>
    <w:multiLevelType w:val="singleLevel"/>
    <w:tmpl w:val="B8AA3FB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ODhlYWJiMThlMDJhNTE0OGU3NzlkNzg3OGZmZjIifQ=="/>
  </w:docVars>
  <w:rsids>
    <w:rsidRoot w:val="40CE5CD7"/>
    <w:rsid w:val="002A2B8E"/>
    <w:rsid w:val="006B1CB6"/>
    <w:rsid w:val="007A5985"/>
    <w:rsid w:val="00852EF1"/>
    <w:rsid w:val="00863E43"/>
    <w:rsid w:val="008C02F3"/>
    <w:rsid w:val="00A24A46"/>
    <w:rsid w:val="00A315C4"/>
    <w:rsid w:val="00A548E9"/>
    <w:rsid w:val="00A7781F"/>
    <w:rsid w:val="00AB0ADB"/>
    <w:rsid w:val="00AD3A04"/>
    <w:rsid w:val="00B95B26"/>
    <w:rsid w:val="00BE357F"/>
    <w:rsid w:val="00C23799"/>
    <w:rsid w:val="00CA7653"/>
    <w:rsid w:val="00E61346"/>
    <w:rsid w:val="00EC5DBF"/>
    <w:rsid w:val="055E1D8A"/>
    <w:rsid w:val="0A0B0691"/>
    <w:rsid w:val="122710F6"/>
    <w:rsid w:val="13926498"/>
    <w:rsid w:val="1C350528"/>
    <w:rsid w:val="1FEF447A"/>
    <w:rsid w:val="25AA1B8B"/>
    <w:rsid w:val="2E62460A"/>
    <w:rsid w:val="305F7BF3"/>
    <w:rsid w:val="32C566F9"/>
    <w:rsid w:val="3565070D"/>
    <w:rsid w:val="362B2A5B"/>
    <w:rsid w:val="36FA596F"/>
    <w:rsid w:val="3B7B3FE0"/>
    <w:rsid w:val="40CE5CD7"/>
    <w:rsid w:val="417D0926"/>
    <w:rsid w:val="5BF61600"/>
    <w:rsid w:val="6B796B16"/>
    <w:rsid w:val="7265370D"/>
    <w:rsid w:val="78747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autoRedefine/>
    <w:qFormat/>
    <w:uiPriority w:val="0"/>
    <w:pPr>
      <w:spacing w:beforeAutospacing="1" w:afterAutospacing="1"/>
      <w:jc w:val="left"/>
    </w:pPr>
    <w:rPr>
      <w:kern w:val="0"/>
      <w:sz w:val="24"/>
    </w:rPr>
  </w:style>
  <w:style w:type="character" w:styleId="6">
    <w:name w:val="annotation reference"/>
    <w:basedOn w:val="5"/>
    <w:autoRedefine/>
    <w:uiPriority w:val="0"/>
    <w:rPr>
      <w:sz w:val="21"/>
      <w:szCs w:val="21"/>
    </w:rPr>
  </w:style>
  <w:style w:type="paragraph" w:styleId="7">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377</Words>
  <Characters>2155</Characters>
  <Lines>17</Lines>
  <Paragraphs>5</Paragraphs>
  <TotalTime>197</TotalTime>
  <ScaleCrop>false</ScaleCrop>
  <LinksUpToDate>false</LinksUpToDate>
  <CharactersWithSpaces>2527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2020-04-14T07:53:00Z</dcterms:created>
  <dc:creator>立秋</dc:creator>
  <cp:lastModifiedBy>三水君</cp:lastModifiedBy>
  <dcterms:modified xsi:type="dcterms:W3CDTF">2024-03-22T01:02:00Z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231D09DFE6B546C3BCC538E9EC0AA758_12</vt:lpwstr>
  </property>
</Properties>
</file>