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0"/>
          <w:szCs w:val="30"/>
          <w:lang w:val="en-US" w:eastAsia="zh-CN"/>
        </w:rPr>
      </w:pPr>
      <w:bookmarkStart w:id="0" w:name="_GoBack"/>
      <w:r>
        <w:rPr>
          <w:rFonts w:hint="eastAsia"/>
          <w:sz w:val="30"/>
          <w:szCs w:val="30"/>
          <w:lang w:val="en-US" w:eastAsia="zh-CN"/>
        </w:rPr>
        <w:t>实验室建设会议纪要</w:t>
      </w:r>
    </w:p>
    <w:bookmarkEnd w:id="0"/>
    <w:p>
      <w:pPr>
        <w:numPr>
          <w:ilvl w:val="0"/>
          <w:numId w:val="0"/>
        </w:numPr>
        <w:ind w:firstLine="560" w:firstLineChars="200"/>
        <w:jc w:val="left"/>
        <w:rPr>
          <w:rFonts w:hint="eastAsia"/>
          <w:sz w:val="28"/>
          <w:szCs w:val="28"/>
          <w:lang w:val="en-US" w:eastAsia="zh-CN"/>
        </w:rPr>
      </w:pPr>
      <w:r>
        <w:rPr>
          <w:rFonts w:hint="eastAsia"/>
          <w:sz w:val="28"/>
          <w:szCs w:val="28"/>
          <w:lang w:val="en-US" w:eastAsia="zh-CN"/>
        </w:rPr>
        <w:t>2022年9月下旬至10月中旬，学校和教务部组织召开了管理学院、土木工程学院、水利工程学院、财经学院、基础部、机械工程学院、电气信息工程学院、艺术设计学院实验室建设会议。各学院（部）主要负责人及教务部相关人员参加了会议。对照2021版培养方案中各专业开设的独立实践课程和课内实践进行了全面梳理，列出了目前实验室的现状及所存在的问题，通过交流讨论，就机房改造、实验室布局等问题达成了共识。</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整体考虑各个实验室的布局，调研各个专业实验室的建设和具体配置。保证专业课的教学质量，专积极引进相应的专业教师，同时要做好在岗教师的培训和进修学习。保证实验室建设好、使用好。</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已具备建设条件的实验室，争取在今年年底完成。</w:t>
      </w:r>
    </w:p>
    <w:p>
      <w:pPr>
        <w:numPr>
          <w:ilvl w:val="0"/>
          <w:numId w:val="0"/>
        </w:numPr>
        <w:jc w:val="left"/>
        <w:rPr>
          <w:rFonts w:hint="default"/>
          <w:sz w:val="28"/>
          <w:szCs w:val="28"/>
          <w:lang w:val="en-US" w:eastAsia="zh-CN"/>
        </w:rPr>
      </w:pPr>
    </w:p>
    <w:p>
      <w:pPr>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ZTdhY2MwNTJkOTdiNTQzYWU4MDkyNGEwYTExNTgifQ=="/>
  </w:docVars>
  <w:rsids>
    <w:rsidRoot w:val="00000000"/>
    <w:rsid w:val="0F7D081D"/>
    <w:rsid w:val="1086502E"/>
    <w:rsid w:val="12EC0797"/>
    <w:rsid w:val="18E71174"/>
    <w:rsid w:val="1B36107E"/>
    <w:rsid w:val="1C36335C"/>
    <w:rsid w:val="204D7D98"/>
    <w:rsid w:val="28982949"/>
    <w:rsid w:val="37364E7A"/>
    <w:rsid w:val="37C441BC"/>
    <w:rsid w:val="389F2FCF"/>
    <w:rsid w:val="39D566C4"/>
    <w:rsid w:val="3AE56F82"/>
    <w:rsid w:val="3CCF3BB7"/>
    <w:rsid w:val="3F5139F3"/>
    <w:rsid w:val="466273FC"/>
    <w:rsid w:val="477E0BCB"/>
    <w:rsid w:val="4EDB78F1"/>
    <w:rsid w:val="5385101B"/>
    <w:rsid w:val="55952367"/>
    <w:rsid w:val="60A56859"/>
    <w:rsid w:val="619D5782"/>
    <w:rsid w:val="6B1F4ED7"/>
    <w:rsid w:val="6F1F0ADC"/>
    <w:rsid w:val="72093818"/>
    <w:rsid w:val="79BF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433</Characters>
  <Lines>0</Lines>
  <Paragraphs>0</Paragraphs>
  <TotalTime>25</TotalTime>
  <ScaleCrop>false</ScaleCrop>
  <LinksUpToDate>false</LinksUpToDate>
  <CharactersWithSpaces>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2022-10-11T02:27:00Z</dcterms:created>
  <dc:creator>Administrator</dc:creator>
  <cp:lastModifiedBy>Administrator</cp:lastModifiedBy>
  <dcterms:modified xsi:type="dcterms:W3CDTF">2022-11-23T07:04:23Z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F84672DF4C5C4616A6ACE497A8323D20</vt:lpwstr>
  </property>
</Properties>
</file>