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Tencent Java 1.8.0_262 on Linux -->
    <w:p>
      <w:pPr>
        <w:snapToGrid w:val="false"/>
        <w:spacing w:before="0" w:after="0" w:line="500" w:lineRule="exact"/>
        <w:ind/>
        <w:jc w:val="center"/>
        <w:rPr>
          <w:rFonts w:ascii="黑体" w:hAnsi="黑体" w:eastAsia="黑体"/>
          <w:color w:val="000000"/>
          <w:sz w:val="40"/>
          <w:szCs w:val="40"/>
        </w:rPr>
      </w:pPr>
      <w:r>
        <w:rPr>
          <w:rFonts w:ascii="黑体" w:hAnsi="黑体" w:eastAsia="黑体"/>
          <w:b w:val="true"/>
          <w:bCs w:val="true"/>
          <w:color w:val="000000"/>
          <w:sz w:val="40"/>
          <w:szCs w:val="40"/>
        </w:rPr>
        <w:t xml:space="preserve"> </w:t>
      </w:r>
      <w:r>
        <w:rPr>
          <w:rFonts w:ascii="黑体" w:hAnsi="黑体" w:eastAsia="黑体"/>
          <w:b w:val="true"/>
          <w:bCs w:val="true"/>
          <w:color w:val="000000"/>
          <w:kern w:val="0"/>
          <w:sz w:val="40"/>
          <w:szCs w:val="40"/>
        </w:rPr>
        <w:t>院务部本周主要工作和活动安排</w:t>
      </w:r>
    </w:p>
    <w:p>
      <w:pPr>
        <w:snapToGrid w:val="false"/>
        <w:spacing w:before="0" w:after="0" w:line="500" w:lineRule="exact"/>
        <w:ind/>
        <w:jc w:val="center"/>
        <w:rPr>
          <w:rFonts w:ascii="黑体" w:hAnsi="黑体" w:eastAsia="黑体"/>
          <w:color w:val="000000"/>
          <w:kern w:val="0"/>
          <w:sz w:val="36"/>
          <w:szCs w:val="36"/>
        </w:rPr>
      </w:pPr>
      <w:r>
        <w:rPr>
          <w:rFonts w:ascii="黑体" w:hAnsi="黑体" w:eastAsia="黑体"/>
          <w:color w:val="000000"/>
          <w:kern w:val="0"/>
          <w:sz w:val="36"/>
          <w:szCs w:val="36"/>
        </w:rPr>
        <w:t>（202</w:t>
      </w:r>
      <w:r>
        <w:rPr>
          <w:rFonts w:ascii="黑体" w:hAnsi="黑体" w:eastAsia="黑体"/>
          <w:color w:val="000000"/>
          <w:sz w:val="36"/>
          <w:szCs w:val="36"/>
        </w:rPr>
        <w:t>1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年</w:t>
      </w:r>
      <w:r>
        <w:rPr>
          <w:rFonts w:ascii="黑体" w:hAnsi="黑体" w:eastAsia="黑体"/>
          <w:color w:val="000000"/>
          <w:sz w:val="36"/>
          <w:szCs w:val="36"/>
        </w:rPr>
        <w:t>12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月</w:t>
      </w:r>
      <w:r>
        <w:rPr>
          <w:rFonts w:ascii="黑体" w:hAnsi="黑体" w:eastAsia="黑体"/>
          <w:color w:val="000000"/>
          <w:sz w:val="36"/>
          <w:szCs w:val="36"/>
        </w:rPr>
        <w:t>6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日-202</w:t>
      </w:r>
      <w:r>
        <w:rPr>
          <w:rFonts w:ascii="黑体" w:hAnsi="黑体" w:eastAsia="黑体"/>
          <w:color w:val="000000"/>
          <w:sz w:val="36"/>
          <w:szCs w:val="36"/>
        </w:rPr>
        <w:t>1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年</w:t>
      </w:r>
      <w:r>
        <w:rPr>
          <w:rFonts w:ascii="黑体" w:hAnsi="黑体" w:eastAsia="黑体"/>
          <w:color w:val="000000"/>
          <w:sz w:val="36"/>
          <w:szCs w:val="36"/>
        </w:rPr>
        <w:t>12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月</w:t>
      </w:r>
      <w:r>
        <w:rPr>
          <w:rFonts w:ascii="黑体" w:hAnsi="黑体" w:eastAsia="黑体"/>
          <w:color w:val="000000"/>
          <w:sz w:val="36"/>
          <w:szCs w:val="36"/>
        </w:rPr>
        <w:t>10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日）</w:t>
      </w:r>
    </w:p>
    <w:p>
      <w:pPr>
        <w:snapToGrid w:val="false"/>
        <w:spacing w:before="0" w:after="0" w:line="500" w:lineRule="exact"/>
        <w:ind/>
        <w:jc w:val="center"/>
        <w:rPr>
          <w:rFonts w:ascii="黑体" w:hAnsi="黑体" w:eastAsia="黑体"/>
          <w:color w:val="000000"/>
          <w:sz w:val="36"/>
          <w:szCs w:val="36"/>
        </w:rPr>
      </w:pPr>
      <w:r>
        <w:rPr>
          <w:rFonts w:ascii="黑体" w:hAnsi="黑体" w:eastAsia="黑体"/>
          <w:color w:val="000000"/>
          <w:sz w:val="36"/>
          <w:szCs w:val="36"/>
        </w:rPr>
      </w:r>
    </w:p>
    <w:p>
      <w:pPr>
        <w:snapToGrid w:val="false"/>
        <w:spacing w:before="0" w:after="0" w:line="360" w:lineRule="exact"/>
        <w:ind w:firstLineChars="150"/>
        <w:jc w:val="left"/>
        <w:rPr>
          <w:rFonts w:ascii="宋体" w:hAnsi="宋体" w:eastAsia="宋体"/>
          <w:b w:val="true"/>
          <w:bCs w:val="true"/>
          <w:color w:val="000000"/>
          <w:kern w:val="0"/>
          <w:sz w:val="32"/>
          <w:szCs w:val="32"/>
        </w:rPr>
      </w:pPr>
      <w:r>
        <w:rPr>
          <w:rFonts w:ascii="宋体" w:hAnsi="宋体" w:eastAsia="宋体"/>
          <w:color w:val="000000"/>
          <w:kern w:val="0"/>
          <w:sz w:val="28"/>
          <w:szCs w:val="28"/>
        </w:rPr>
        <w:t xml:space="preserve">  </w:t>
      </w:r>
      <w:r>
        <w:rPr>
          <w:rFonts w:ascii="宋体" w:hAnsi="宋体" w:eastAsia="宋体"/>
          <w:color w:val="000000"/>
          <w:sz w:val="32"/>
          <w:szCs w:val="32"/>
        </w:rPr>
        <w:t xml:space="preserve">                  </w:t>
      </w:r>
      <w:r>
        <w:rPr>
          <w:rFonts w:ascii="宋体" w:hAnsi="宋体" w:eastAsia="宋体"/>
          <w:color w:val="000000"/>
          <w:kern w:val="0"/>
          <w:sz w:val="24"/>
          <w:szCs w:val="24"/>
        </w:rPr>
        <w:t xml:space="preserve">                     </w:t>
      </w:r>
      <w:r>
        <w:rPr>
          <w:rFonts w:ascii="宋体" w:hAnsi="宋体" w:eastAsia="宋体"/>
          <w:color w:val="000000"/>
          <w:sz w:val="24"/>
          <w:szCs w:val="24"/>
        </w:rPr>
        <w:t xml:space="preserve">                    </w:t>
      </w:r>
      <w:r>
        <w:rPr>
          <w:rFonts w:ascii="宋体" w:hAnsi="宋体" w:eastAsia="宋体"/>
          <w:color w:val="000000"/>
          <w:kern w:val="0"/>
          <w:sz w:val="24"/>
          <w:szCs w:val="24"/>
        </w:rPr>
        <w:t xml:space="preserve"> 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202</w:t>
      </w:r>
      <w:r>
        <w:rPr>
          <w:rFonts w:ascii="黑体" w:hAnsi="黑体" w:eastAsia="黑体"/>
          <w:color w:val="000000"/>
          <w:sz w:val="36"/>
          <w:szCs w:val="36"/>
        </w:rPr>
        <w:t>1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-202</w:t>
      </w:r>
      <w:r>
        <w:rPr>
          <w:rFonts w:ascii="黑体" w:hAnsi="黑体" w:eastAsia="黑体"/>
          <w:color w:val="000000"/>
          <w:sz w:val="36"/>
          <w:szCs w:val="36"/>
        </w:rPr>
        <w:t>2</w:t>
      </w:r>
      <w:r>
        <w:rPr>
          <w:rFonts w:ascii="宋体" w:hAnsi="宋体" w:eastAsia="宋体"/>
          <w:b w:val="true"/>
          <w:bCs w:val="true"/>
          <w:color w:val="000000"/>
          <w:kern w:val="0"/>
          <w:sz w:val="32"/>
          <w:szCs w:val="32"/>
        </w:rPr>
        <w:t>学年第一学期</w:t>
      </w:r>
      <w:r>
        <w:rPr>
          <w:rFonts w:ascii="Calibri" w:hAnsi="Calibri" w:eastAsia="Calibri"/>
          <w:b w:val="true"/>
          <w:bCs w:val="true"/>
          <w:color w:val="000000"/>
          <w:kern w:val="0"/>
          <w:sz w:val="32"/>
          <w:szCs w:val="32"/>
        </w:rPr>
        <w:t xml:space="preserve"> </w:t>
      </w:r>
      <w:r>
        <w:rPr>
          <w:rFonts w:ascii="宋体" w:hAnsi="宋体" w:eastAsia="宋体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eastAsia="宋体"/>
          <w:b w:val="true"/>
          <w:bCs w:val="true"/>
          <w:color w:val="000000"/>
          <w:kern w:val="0"/>
          <w:sz w:val="32"/>
          <w:szCs w:val="32"/>
        </w:rPr>
        <w:t>第</w:t>
      </w:r>
      <w:r>
        <w:rPr>
          <w:rFonts w:ascii="宋体" w:hAnsi="宋体" w:eastAsia="宋体"/>
          <w:b w:val="true"/>
          <w:bCs w:val="true"/>
          <w:color w:val="000000"/>
          <w:sz w:val="32"/>
          <w:szCs w:val="32"/>
        </w:rPr>
        <w:t>十四</w:t>
      </w:r>
      <w:r>
        <w:rPr>
          <w:rFonts w:ascii="宋体" w:hAnsi="宋体" w:eastAsia="宋体"/>
          <w:b w:val="true"/>
          <w:bCs w:val="true"/>
          <w:color w:val="000000"/>
          <w:kern w:val="0"/>
          <w:sz w:val="32"/>
          <w:szCs w:val="32"/>
        </w:rPr>
        <w:t>周</w:t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990"/>
        <w:gridCol w:w="1260"/>
        <w:gridCol w:w="6480"/>
        <w:gridCol w:w="1305"/>
        <w:gridCol w:w="3135"/>
        <w:gridCol w:w="960"/>
      </w:tblGrid>
      <w:tr>
        <w:trPr>
          <w:trHeight w:val="63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kern w:val="0"/>
                <w:sz w:val="24"/>
                <w:szCs w:val="24"/>
              </w:rPr>
              <w:t>序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kern w:val="0"/>
                <w:sz w:val="24"/>
                <w:szCs w:val="24"/>
              </w:rPr>
              <w:t>完成时间</w:t>
            </w:r>
          </w:p>
        </w:tc>
        <w:tc>
          <w:tcPr>
            <w:tcW w:w="6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kern w:val="0"/>
                <w:sz w:val="24"/>
                <w:szCs w:val="24"/>
              </w:rPr>
              <w:t>内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kern w:val="0"/>
                <w:sz w:val="24"/>
                <w:szCs w:val="24"/>
              </w:rPr>
              <w:t>容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kern w:val="0"/>
                <w:sz w:val="24"/>
                <w:szCs w:val="24"/>
              </w:rPr>
              <w:t>责任部门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kern w:val="0"/>
                <w:sz w:val="24"/>
                <w:szCs w:val="24"/>
              </w:rPr>
              <w:t>配合部门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kern w:val="0"/>
                <w:sz w:val="24"/>
                <w:szCs w:val="24"/>
              </w:rPr>
              <w:t>备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kern w:val="0"/>
                <w:sz w:val="24"/>
                <w:szCs w:val="24"/>
              </w:rPr>
              <w:t>注</w:t>
            </w:r>
          </w:p>
        </w:tc>
      </w:tr>
      <w:tr>
        <w:trPr>
          <w:trHeight w:val="48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本周</w:t>
            </w:r>
          </w:p>
        </w:tc>
        <w:tc>
          <w:tcPr>
            <w:tcW w:w="6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做好日常收发文、信访来电、会议室管理、用印审批、人员考勤等常规工作和领导交办的其他工作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64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本周</w:t>
            </w:r>
          </w:p>
        </w:tc>
        <w:tc>
          <w:tcPr>
            <w:tcW w:w="6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制度汇编 、流程汇编下发各部门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64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本周</w:t>
            </w:r>
          </w:p>
        </w:tc>
        <w:tc>
          <w:tcPr>
            <w:tcW w:w="6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高基统计教育厅二审数据反馈修改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55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院务部部门考核支撑材料准备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51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校长书记会第十八次会议纪要撰写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8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与市经开区战略合作签约仪式会务筹备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8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筹备雨山区人大代表选举大会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本周</w:t>
            </w:r>
          </w:p>
        </w:tc>
        <w:tc>
          <w:tcPr>
            <w:tcW w:w="6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both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校园电动车集中整治。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保卫科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both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第三针疫苗接种的准备工作。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保卫科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 w:firstLineChars="20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both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自动报警消防设施改造材料申报工作。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保卫科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 w:firstLineChars="400"/>
              <w:jc w:val="both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消防管网、室外消火栓防冻工作。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保卫科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协助农商卡设点，发放上批次未发放的教师及学生的三代社保卡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大学生一站式服务中 心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接待、沟通、处理学生开学工作学习中产生的各类问题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大学生一站式服务中心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8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帮助学生补办饭卡，修改教务系统密码，处理门禁刷不开，补办学生证考试证，学生宿舍报修等各类服务中心常规服务项目。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大学生一站式服务中心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           整理装订之前有污渍的的档案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档案科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本周</w:t>
            </w:r>
          </w:p>
        </w:tc>
        <w:tc>
          <w:tcPr>
            <w:tcW w:w="6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迎新、教师上课、行政用车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车队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本周</w:t>
            </w:r>
          </w:p>
        </w:tc>
        <w:tc>
          <w:tcPr>
            <w:tcW w:w="6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做好日常接待，会务工作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行政科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本周</w:t>
            </w:r>
          </w:p>
        </w:tc>
        <w:tc>
          <w:tcPr>
            <w:tcW w:w="6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行政科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</w:tbl>
    <w:sectPr w:rsidR="00C604EC">
      <w:pgSz w:w="16839" w:h="11907"/>
      <w:pgMar w:top="1800" w:right="1440" w:bottom="1800" w:left="1440" w:header="851" w:footer="992" w:gutter="0"/>
      <w:cols w:space="425"/>
      <w:docGrid w:type="lines" w:linePitch="312"/>
    </w:sectPr>
  </w:body>
</w:document>
</file>

<file path=word/comments.xml><?xml version="1.0" encoding="utf-8"?>
<w:comment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commentsExtended.xml><?xml version="1.0" encoding="utf-8"?>
<w15:commentsEx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numbering.xml" Type="http://schemas.openxmlformats.org/officeDocument/2006/relationships/numbering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.xml" Type="http://schemas.openxmlformats.org/officeDocument/2006/relationships/styles" Id="rId4"/><Relationship Target="comments.xml" Type="http://schemas.openxmlformats.org/officeDocument/2006/relationships/comments" Id="rId9"/><Relationship Target="commentsExtended.xml" Type="http://schemas.microsoft.com/office/2011/relationships/commentsExtended" Id="rId10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bibliography"/>
  </ds:schemaRefs>
</ds:datastoreItem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123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2018-12-10T07:40:00Z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