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8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before="0" w:after="0" w:line="360" w:lineRule="exact"/>
        <w:ind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11.8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十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60"/>
        <w:gridCol w:w="6480"/>
        <w:gridCol w:w="1305"/>
        <w:gridCol w:w="313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高基数据上报、数据分析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协助教务部做好学校2021年本科教学状态数据库统计中有关院务部填报内容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学校2021教育事业统计霍里山校区数据采集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双十一反诈宣传，119消防安全宣传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配合后勤保障部，做好教师公寓环境整治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协调每次往返南京教职工核酸检测问题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发布《电动车管理办法》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一站式服务中心内部学生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主管人员排班进行调整，并进行新一轮业务培训。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 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整理装订历年有霉点的档案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/>
    <w:sectPr>
      <w:pgSz w:w="16839" w:h="11907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83452B8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2021-11-15T02:42:44Z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D53B1FE536CF4E749F333F16BB8588A7</vt:lpwstr>
  </property>
</Properties>
</file>